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thinThickThinSmallGap" w:sz="18" w:space="0" w:color="auto"/>
          <w:bottom w:val="thinThickThinSmallGap" w:sz="18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02271" w:rsidRPr="00FB30A3" w14:paraId="0E645186" w14:textId="77777777" w:rsidTr="003A177B">
        <w:trPr>
          <w:trHeight w:val="125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6B4E3E7" w14:textId="0F4963F6" w:rsidR="003B63CD" w:rsidRPr="003B63CD" w:rsidRDefault="003B63CD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bookmarkStart w:id="0" w:name="_Hlk60943285"/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XI</w:t>
            </w:r>
            <w:r w:rsidR="00753F53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val="en-US" w:eastAsia="ru-RU"/>
              </w:rPr>
              <w:t>I</w:t>
            </w:r>
            <w:bookmarkStart w:id="1" w:name="_GoBack"/>
            <w:bookmarkEnd w:id="1"/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 xml:space="preserve"> Республиканская научно-практическая конференция-конкурс</w:t>
            </w:r>
          </w:p>
          <w:p w14:paraId="44980696" w14:textId="5737AA4F" w:rsidR="003B63CD" w:rsidRPr="003B63CD" w:rsidRDefault="003B63CD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научно-исследовательских работ учащихся средних,</w:t>
            </w:r>
          </w:p>
          <w:p w14:paraId="17417107" w14:textId="0D8D6EDF" w:rsidR="003B63CD" w:rsidRPr="003B63CD" w:rsidRDefault="003B63CD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средних специальных учебных заведений и студентов вузов</w:t>
            </w:r>
          </w:p>
          <w:p w14:paraId="6679D06B" w14:textId="77777777" w:rsidR="003B63CD" w:rsidRDefault="003B63CD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</w:pPr>
            <w:r w:rsidRPr="003B63CD">
              <w:rPr>
                <w:rFonts w:ascii="Times New Roman" w:eastAsia="Times New Roman" w:hAnsi="Times New Roman" w:cs="Times New Roman"/>
                <w:b/>
                <w:bCs/>
                <w:iCs/>
                <w:spacing w:val="20"/>
                <w:sz w:val="24"/>
                <w:szCs w:val="24"/>
                <w:lang w:eastAsia="ru-RU"/>
              </w:rPr>
              <w:t>«От Альфа к Омеге…» (с международным участием)</w:t>
            </w:r>
          </w:p>
          <w:p w14:paraId="1BE0ABF0" w14:textId="5A5E15DE" w:rsidR="00B02271" w:rsidRPr="00FB30A3" w:rsidRDefault="00B02271" w:rsidP="003B63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</w:pPr>
            <w:r w:rsidRPr="00FB30A3">
              <w:rPr>
                <w:rFonts w:ascii="Times New Roman" w:eastAsia="Times New Roman" w:hAnsi="Times New Roman" w:cs="Times New Roman"/>
                <w:iCs/>
                <w:spacing w:val="20"/>
                <w:sz w:val="24"/>
                <w:szCs w:val="24"/>
                <w:lang w:eastAsia="ru-RU"/>
              </w:rPr>
              <w:t>Секция 2. Прикладная математика</w:t>
            </w:r>
          </w:p>
          <w:p w14:paraId="1530DB93" w14:textId="1C05213E" w:rsidR="00B02271" w:rsidRPr="00FB30A3" w:rsidRDefault="00B02271" w:rsidP="00FB3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caps/>
                <w:spacing w:val="20"/>
                <w:sz w:val="24"/>
                <w:szCs w:val="24"/>
                <w:lang w:eastAsia="ru-RU"/>
              </w:rPr>
            </w:pPr>
            <w:r w:rsidRPr="00FB30A3">
              <w:rPr>
                <w:rFonts w:ascii="Times New Roman" w:eastAsia="Times New Roman" w:hAnsi="Times New Roman" w:cs="Times New Roman"/>
                <w:iCs/>
                <w:caps/>
                <w:spacing w:val="20"/>
                <w:sz w:val="24"/>
                <w:szCs w:val="24"/>
                <w:lang w:eastAsia="ru-RU"/>
              </w:rPr>
              <w:t>Статьи студентов</w:t>
            </w:r>
          </w:p>
        </w:tc>
      </w:tr>
      <w:bookmarkEnd w:id="0"/>
    </w:tbl>
    <w:p w14:paraId="39984138" w14:textId="77777777" w:rsidR="00B02271" w:rsidRPr="00B02271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0ADC62" w14:textId="77777777" w:rsidR="00B02271" w:rsidRPr="00B02271" w:rsidRDefault="00B02271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 ИНТЕЛЛЕКТУАЛЬНОЙ СОБСТВЕННОСТИ В СФЕРЕ УСЛУГ</w:t>
      </w:r>
    </w:p>
    <w:p w14:paraId="38B569AD" w14:textId="77777777" w:rsidR="00B02271" w:rsidRPr="00B02271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3F607" w14:textId="2488180D" w:rsidR="00B02271" w:rsidRPr="00B02271" w:rsidRDefault="00B02271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="00A46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="00A46A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6928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Рыжова</w:t>
      </w:r>
    </w:p>
    <w:p w14:paraId="07223EC4" w14:textId="1F99745D" w:rsidR="00B02271" w:rsidRPr="00B02271" w:rsidRDefault="00B02271" w:rsidP="00FB30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УО «Гродненский государственный университет имени Янки</w:t>
      </w:r>
      <w:r w:rsidR="00A46A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022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Купалы»,</w:t>
      </w:r>
    </w:p>
    <w:p w14:paraId="012A6C3A" w14:textId="5BED9B3E" w:rsidR="007D1D09" w:rsidRPr="00C1148B" w:rsidRDefault="007D1D09" w:rsidP="00C114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Гродно, Беларусь</w:t>
      </w:r>
    </w:p>
    <w:p w14:paraId="38F27808" w14:textId="77777777" w:rsidR="00B02271" w:rsidRPr="00C1148B" w:rsidRDefault="00B02271" w:rsidP="00FB30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F3A1BF" w14:textId="757323BB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– И.</w:t>
      </w:r>
      <w:r w:rsidR="00B01C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П. Перов</w:t>
      </w:r>
      <w:r w:rsidR="00C11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кафедры </w:t>
      </w:r>
      <w:r w:rsidR="00C1148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фундаментальной и прикладной математики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УО «Гродненский государственный университет имени Янки Купалы», доктор физико-математических наук, профессор.</w:t>
      </w:r>
    </w:p>
    <w:p w14:paraId="45910A3B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747DCBEA" w14:textId="6FF7B49D" w:rsidR="00FB460E" w:rsidRDefault="00B02271" w:rsidP="00FB460E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6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статье исследуется содержание и структура финансово-экономической основы местного управления и самоуправления, источники доходов бюджета. Рассматриваются основные источники собственных доходов, в частности подоходный налог, налог на прибыль, уплачиваемый негосударственными и коммунальными организациями, налог на недвижимость и земельный налог. На основании результатов сопоставления объема налоговых поступлений и формирующей их экономической базы приводится вывод о недостаточной эффективности и устойчивости имеющейся экономической базы местных бюджетов. Приводятся основные факторы, ограничивающие налоговую самостоятельность местных органов власти.</w:t>
      </w:r>
    </w:p>
    <w:p w14:paraId="0CD8CF25" w14:textId="77777777" w:rsidR="00FB460E" w:rsidRPr="00FB460E" w:rsidRDefault="00FB460E" w:rsidP="00FB460E">
      <w:pPr>
        <w:tabs>
          <w:tab w:val="left" w:pos="453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252338" w14:textId="6694C606" w:rsidR="00B02271" w:rsidRPr="00FB460E" w:rsidRDefault="00B02271" w:rsidP="00FB30A3">
      <w:pPr>
        <w:tabs>
          <w:tab w:val="left" w:pos="453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60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Ключевые слова:</w:t>
      </w:r>
      <w:r w:rsidRPr="00FB46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дифференциальное уравнение, проективная плоскость, траектории дифференциальных систем.</w:t>
      </w:r>
    </w:p>
    <w:p w14:paraId="0CC500E0" w14:textId="77777777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EFFE7" w14:textId="5E529657" w:rsidR="00FB460E" w:rsidRPr="00FB460E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Введение. 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вопрос о существовании индивидуальных различий в умственных (интеллектуальных) способностях поставил Ф. Гальтон [1, с. 50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89]. Гальтон полагал, что интеллектуальные возможности закономерно обусловлены особенностями биологической природы человека и, соответственно, ничем не отличаются от его физических и физиологических характеристик. В качестве показателя общих интеллектуальных способностей рассматривалась сенсорная различительная чувствительность.</w:t>
      </w:r>
    </w:p>
    <w:p w14:paraId="517648B8" w14:textId="5B0AD555" w:rsidR="00B02271" w:rsidRDefault="00FB460E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</w:t>
      </w:r>
    </w:p>
    <w:p w14:paraId="49A709DA" w14:textId="77777777" w:rsidR="00FB460E" w:rsidRPr="00B02271" w:rsidRDefault="00FB460E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5A9B5" w14:textId="77777777" w:rsidR="00FB460E" w:rsidRDefault="00B02271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часть. </w:t>
      </w:r>
      <w:r w:rsidR="00FB4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</w:t>
      </w:r>
    </w:p>
    <w:p w14:paraId="57B9688A" w14:textId="77777777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0A767EEB" w14:textId="43B851E3" w:rsidR="00BA432E" w:rsidRPr="00B02271" w:rsidRDefault="008D3E63" w:rsidP="005A0629">
      <w:pPr>
        <w:tabs>
          <w:tab w:val="center" w:pos="482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32E" w:rsidRPr="00BA432E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1359" w:dyaOrig="740" w14:anchorId="558FD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6.75pt" o:ole="">
            <v:imagedata r:id="rId8" o:title=""/>
          </v:shape>
          <o:OLEObject Type="Embed" ProgID="Equation.DSMT4" ShapeID="_x0000_i1025" DrawAspect="Content" ObjectID="_1710258760" r:id="rId9"/>
        </w:object>
      </w:r>
      <w:r w:rsidR="00BA432E" w:rsidRPr="008D3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6C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432E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32E" w:rsidRPr="008D3E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432E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7D99B0C" w14:textId="2C63E00F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Текст. Текст. Текст</w:t>
      </w:r>
      <w:r w:rsidR="00BC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541249CF" w14:textId="77777777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</w:t>
      </w:r>
    </w:p>
    <w:p w14:paraId="0CCF609C" w14:textId="7D44CC1A" w:rsidR="00FB460E" w:rsidRDefault="00FB460E" w:rsidP="00FB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Текст. Текст. Текст. Текст. Текст. Текст. Текст. Текст. Текст. Текст. Текст. Текст. Текст. Текст. Текст. Текст. </w:t>
      </w:r>
    </w:p>
    <w:p w14:paraId="41D09D3A" w14:textId="22C3A344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Пусть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″ и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′ – коэффициенты регрессии в уравнениях соответственно с высокими и низкими продуктивностями,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″ – среднее значение высоких продуктивностей.</w:t>
      </w:r>
    </w:p>
    <w:p w14:paraId="7B2C8080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коэффициент колеблемости будет равен:</w:t>
      </w:r>
    </w:p>
    <w:p w14:paraId="754AA4CF" w14:textId="53802E7F" w:rsidR="00B02271" w:rsidRPr="00B02271" w:rsidRDefault="00CD6C4E" w:rsidP="005A0629">
      <w:pPr>
        <w:tabs>
          <w:tab w:val="center" w:pos="4962"/>
          <w:tab w:val="right" w:pos="9638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271" w:rsidRPr="00B02271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140" w:dyaOrig="620" w14:anchorId="19FA72D7">
          <v:shape id="_x0000_i1026" type="#_x0000_t75" style="width:56.25pt;height:30.75pt" o:ole="">
            <v:imagedata r:id="rId10" o:title=""/>
          </v:shape>
          <o:OLEObject Type="Embed" ProgID="Equation.DSMT4" ShapeID="_x0000_i1026" DrawAspect="Content" ObjectID="_1710258761" r:id="rId11"/>
        </w:object>
      </w:r>
      <w:r w:rsidR="00B02271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271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A43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2271"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BA19235" w14:textId="61EFD641" w:rsidR="00B02271" w:rsidRPr="00B02271" w:rsidRDefault="00B02271" w:rsidP="007E3F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d 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разность между коэффициентами регрессии (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″ – </w:t>
      </w:r>
      <w:r w:rsidRPr="00B022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′).</w:t>
      </w:r>
    </w:p>
    <w:p w14:paraId="1072E295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приведены в таблице 1.</w:t>
      </w:r>
    </w:p>
    <w:p w14:paraId="226B341D" w14:textId="77777777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B090A" w14:textId="77777777" w:rsidR="00B02271" w:rsidRPr="00B01CEE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1CEE">
        <w:rPr>
          <w:rFonts w:ascii="Times New Roman" w:eastAsia="Times New Roman" w:hAnsi="Times New Roman" w:cs="Times New Roman"/>
          <w:b/>
          <w:lang w:eastAsia="ru-RU"/>
        </w:rPr>
        <w:t>Таблица</w:t>
      </w:r>
      <w:r w:rsidRPr="00B01CEE">
        <w:rPr>
          <w:rFonts w:ascii="Times New Roman" w:eastAsia="Times New Roman" w:hAnsi="Times New Roman" w:cs="Times New Roman"/>
          <w:b/>
          <w:lang w:val="en-US" w:eastAsia="ru-RU"/>
        </w:rPr>
        <w:t> </w:t>
      </w:r>
      <w:r w:rsidRPr="00B01CEE">
        <w:rPr>
          <w:rFonts w:ascii="Times New Roman" w:eastAsia="Times New Roman" w:hAnsi="Times New Roman" w:cs="Times New Roman"/>
          <w:b/>
          <w:lang w:eastAsia="ru-RU"/>
        </w:rPr>
        <w:t>1 – Динамика доли рынка и нормы прибыли</w:t>
      </w:r>
    </w:p>
    <w:tbl>
      <w:tblPr>
        <w:tblW w:w="335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4194"/>
        <w:gridCol w:w="616"/>
        <w:gridCol w:w="647"/>
        <w:gridCol w:w="540"/>
        <w:gridCol w:w="512"/>
      </w:tblGrid>
      <w:tr w:rsidR="00B02271" w:rsidRPr="00B02271" w14:paraId="743F5342" w14:textId="77777777" w:rsidTr="008401B0">
        <w:trPr>
          <w:cantSplit/>
          <w:trHeight w:val="20"/>
          <w:jc w:val="center"/>
        </w:trPr>
        <w:tc>
          <w:tcPr>
            <w:tcW w:w="3222" w:type="pct"/>
            <w:vMerge w:val="restart"/>
            <w:tcMar>
              <w:top w:w="0" w:type="dxa"/>
              <w:bottom w:w="0" w:type="dxa"/>
            </w:tcMar>
            <w:vAlign w:val="center"/>
          </w:tcPr>
          <w:p w14:paraId="73568990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Предприятие</w:t>
            </w:r>
          </w:p>
        </w:tc>
        <w:tc>
          <w:tcPr>
            <w:tcW w:w="1778" w:type="pct"/>
            <w:gridSpan w:val="4"/>
            <w:tcMar>
              <w:top w:w="0" w:type="dxa"/>
              <w:bottom w:w="0" w:type="dxa"/>
            </w:tcMar>
            <w:vAlign w:val="center"/>
          </w:tcPr>
          <w:p w14:paraId="59E85DB6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 прибыли %,</w:t>
            </w:r>
          </w:p>
          <w:p w14:paraId="425FE77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доле рынка %</w:t>
            </w:r>
          </w:p>
        </w:tc>
      </w:tr>
      <w:tr w:rsidR="00B02271" w:rsidRPr="00B02271" w14:paraId="459C1948" w14:textId="77777777" w:rsidTr="008401B0">
        <w:trPr>
          <w:cantSplit/>
          <w:trHeight w:val="20"/>
          <w:jc w:val="center"/>
        </w:trPr>
        <w:tc>
          <w:tcPr>
            <w:tcW w:w="3222" w:type="pct"/>
            <w:vMerge/>
            <w:tcMar>
              <w:top w:w="0" w:type="dxa"/>
              <w:bottom w:w="0" w:type="dxa"/>
            </w:tcMar>
            <w:vAlign w:val="center"/>
          </w:tcPr>
          <w:p w14:paraId="3C6A106D" w14:textId="77777777" w:rsidR="00B02271" w:rsidRPr="00B02271" w:rsidRDefault="00B02271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4C04EC6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73EE1E3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20–30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1109BB96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3D6E255C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 40</w:t>
            </w:r>
          </w:p>
        </w:tc>
      </w:tr>
      <w:tr w:rsidR="00B02271" w:rsidRPr="00B02271" w14:paraId="6D37356F" w14:textId="77777777" w:rsidTr="008401B0">
        <w:trPr>
          <w:trHeight w:val="20"/>
          <w:jc w:val="center"/>
        </w:trPr>
        <w:tc>
          <w:tcPr>
            <w:tcW w:w="3222" w:type="pct"/>
            <w:tcMar>
              <w:top w:w="0" w:type="dxa"/>
              <w:bottom w:w="0" w:type="dxa"/>
            </w:tcMar>
            <w:vAlign w:val="center"/>
          </w:tcPr>
          <w:p w14:paraId="1082B75A" w14:textId="77777777" w:rsidR="00B02271" w:rsidRPr="00B02271" w:rsidRDefault="00B02271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Производящие потребительские товары</w:t>
            </w:r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01C0A32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563FF67E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6EE02C1F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290984C5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B02271" w:rsidRPr="00B02271" w14:paraId="3F286EA3" w14:textId="77777777" w:rsidTr="008401B0">
        <w:trPr>
          <w:trHeight w:val="20"/>
          <w:jc w:val="center"/>
        </w:trPr>
        <w:tc>
          <w:tcPr>
            <w:tcW w:w="3222" w:type="pct"/>
            <w:tcMar>
              <w:top w:w="0" w:type="dxa"/>
              <w:bottom w:w="0" w:type="dxa"/>
            </w:tcMar>
            <w:vAlign w:val="center"/>
          </w:tcPr>
          <w:p w14:paraId="7A09C22E" w14:textId="77777777" w:rsidR="00B02271" w:rsidRPr="00B02271" w:rsidRDefault="00B02271" w:rsidP="00B01C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Производящие товары производственного назначения</w:t>
            </w:r>
          </w:p>
        </w:tc>
        <w:tc>
          <w:tcPr>
            <w:tcW w:w="473" w:type="pct"/>
            <w:tcMar>
              <w:top w:w="0" w:type="dxa"/>
              <w:bottom w:w="0" w:type="dxa"/>
            </w:tcMar>
          </w:tcPr>
          <w:p w14:paraId="636B5D6A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7" w:type="pct"/>
            <w:tcMar>
              <w:top w:w="0" w:type="dxa"/>
              <w:bottom w:w="0" w:type="dxa"/>
            </w:tcMar>
          </w:tcPr>
          <w:p w14:paraId="28EB8B5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5" w:type="pct"/>
            <w:tcMar>
              <w:top w:w="0" w:type="dxa"/>
              <w:bottom w:w="0" w:type="dxa"/>
            </w:tcMar>
          </w:tcPr>
          <w:p w14:paraId="6F4D6EA8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1" w:type="pct"/>
            <w:tcMar>
              <w:top w:w="0" w:type="dxa"/>
              <w:bottom w:w="0" w:type="dxa"/>
            </w:tcMar>
          </w:tcPr>
          <w:p w14:paraId="089B0C02" w14:textId="77777777" w:rsidR="00B02271" w:rsidRPr="00B02271" w:rsidRDefault="00B02271" w:rsidP="00B01CE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22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14:paraId="0D2928C0" w14:textId="77777777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D16CD" w14:textId="5A4ABB1F" w:rsid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представлены на рисунке</w:t>
      </w:r>
      <w:r w:rsidR="00A46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23D4010D" w14:textId="77777777" w:rsidR="00634DF7" w:rsidRPr="00B02271" w:rsidRDefault="00634DF7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0BA7F" w14:textId="5D3FB7A2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60962934"/>
      <w:r w:rsidRPr="00B02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14543C" wp14:editId="7335425C">
            <wp:extent cx="3943350" cy="10096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6F7613" w14:textId="2151D27A" w:rsidR="00B02271" w:rsidRPr="00B01CEE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01CEE">
        <w:rPr>
          <w:rFonts w:ascii="Times New Roman" w:eastAsia="Times New Roman" w:hAnsi="Times New Roman" w:cs="Times New Roman"/>
          <w:b/>
          <w:lang w:eastAsia="ru-RU"/>
        </w:rPr>
        <w:t>Рисунок</w:t>
      </w:r>
      <w:r w:rsidR="00A46A47">
        <w:rPr>
          <w:rFonts w:ascii="Times New Roman" w:eastAsia="Times New Roman" w:hAnsi="Times New Roman" w:cs="Times New Roman"/>
          <w:b/>
          <w:lang w:eastAsia="ru-RU"/>
        </w:rPr>
        <w:t> </w:t>
      </w:r>
      <w:r w:rsidRPr="00B01CEE">
        <w:rPr>
          <w:rFonts w:ascii="Times New Roman" w:eastAsia="Times New Roman" w:hAnsi="Times New Roman" w:cs="Times New Roman"/>
          <w:b/>
          <w:lang w:eastAsia="ru-RU"/>
        </w:rPr>
        <w:t>1 – Чистая прибыль компании «TOYOTA»</w:t>
      </w:r>
    </w:p>
    <w:bookmarkEnd w:id="2"/>
    <w:p w14:paraId="6B118BDE" w14:textId="77777777" w:rsidR="00B02271" w:rsidRPr="00B02271" w:rsidRDefault="00B02271" w:rsidP="00FB30A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2FC31B" w14:textId="52A9AB62" w:rsidR="00B02271" w:rsidRPr="00B02271" w:rsidRDefault="00B02271" w:rsidP="00FB30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  <w:r w:rsidRPr="00B0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="00BC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FB3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 w:rsidRP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8FD" w:rsidRPr="007E3F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Заключение.</w:t>
      </w:r>
      <w:r w:rsidR="00792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5C953D" w14:textId="77777777" w:rsidR="00B02271" w:rsidRPr="00B02271" w:rsidRDefault="00B02271" w:rsidP="007E3F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60202" w14:textId="653B976B" w:rsidR="00B02271" w:rsidRDefault="00B02271" w:rsidP="007E3F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  <w:r w:rsidRPr="007E3FB3"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  <w:t>Список литературы</w:t>
      </w:r>
    </w:p>
    <w:p w14:paraId="3A2CDBC2" w14:textId="77777777" w:rsidR="007E3FB3" w:rsidRPr="007E3FB3" w:rsidRDefault="007E3FB3" w:rsidP="007E3FB3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aps/>
          <w:sz w:val="20"/>
          <w:szCs w:val="20"/>
          <w:lang w:eastAsia="ru-RU"/>
        </w:rPr>
      </w:pPr>
    </w:p>
    <w:p w14:paraId="2117A6B9" w14:textId="009F2143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Гринин, Л. Е. Социальная макроэволюция: генезис и трансформации Мир-Системы / Л. Е. Гринин, А.</w:t>
      </w:r>
      <w:r w:rsidR="007928F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В. Коротаев. – Изд. 2-е. – М. : URSS, 2013. – 567 с.</w:t>
      </w:r>
    </w:p>
    <w:p w14:paraId="2363D030" w14:textId="7777777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магнитного поля на скорость ионной компоненты пучка частиц, образующихся при наносекундном вакуумном перекрытии диэлектриков / А. С. Гилев [и др.] // Изв. вузов. Физика. – 2012. – Т. 55, № 6. – С. 3–6.</w:t>
      </w:r>
    </w:p>
    <w:p w14:paraId="47369821" w14:textId="7777777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Национальный статистический комитет Республики Беларусь [Электронный ресурс]. – Режим доступа: http://belstat.gov.by/. – Дата доступа: 24.06.2016.</w:t>
      </w:r>
    </w:p>
    <w:p w14:paraId="147709E6" w14:textId="7777777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Божанов, П. В. Направления развития транспортного комплекса Беларуси / П. В. Божанов // Современные концепции развития транспорта и логистики в Республике Беларусь : сб. ст. / Ин-т бизнеса и менеджмента технологий Белорус. гос. ун-та ; сост.: В. В. Апанасович, А. Д. Молокович. – Минск, 2014. – С. 56–64.</w:t>
      </w:r>
    </w:p>
    <w:p w14:paraId="35C38337" w14:textId="3F74D8D4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Семин, А. А. Проблемы квалификации преступлений с административной преюдицией / А. А. Семин</w:t>
      </w:r>
      <w:r w:rsidR="005A06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// Проблемы борьбы с преступностью и подготовки кадров для органов внутренних дел Республики Беларусь : междунар. науч.-практ. конф., посвящ. Дню белорус. науки, Минск, 25 янв. 2008 г. : тез. докл. / Акад. М-ва внутр. дел Респ. Беларусь ; ред.: Н. И. Минич [и др.]. – Минск, 2008. – С. 263–264.</w:t>
      </w:r>
    </w:p>
    <w:p w14:paraId="288D9379" w14:textId="3588B5B7" w:rsidR="00B02271" w:rsidRPr="00B02271" w:rsidRDefault="00B02271" w:rsidP="007E3FB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Агапов, Е. П. Методы исследования в социальной работе : учеб. пособие / Е. П. Агапов. – 2-е изд. – М.</w:t>
      </w:r>
      <w:r w:rsidR="005A062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B02271">
        <w:rPr>
          <w:rFonts w:ascii="Times New Roman" w:eastAsia="Times New Roman" w:hAnsi="Times New Roman" w:cs="Times New Roman"/>
          <w:sz w:val="20"/>
          <w:szCs w:val="20"/>
          <w:lang w:eastAsia="ru-RU"/>
        </w:rPr>
        <w:t>: Дашков и К° ; Ростов н/Д : Наука-Спектр, 2013. – 223 с.</w:t>
      </w:r>
    </w:p>
    <w:p w14:paraId="113A5A65" w14:textId="1EA5FC05" w:rsidR="007928FD" w:rsidRDefault="00B02271" w:rsidP="00FB30A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</w:pPr>
      <w:r w:rsidRPr="00634DF7">
        <w:rPr>
          <w:rFonts w:ascii="Times New Roman" w:eastAsia="Times New Roman" w:hAnsi="Times New Roman" w:cs="Times New Roman"/>
          <w:sz w:val="20"/>
          <w:szCs w:val="20"/>
          <w:lang w:eastAsia="ru-RU"/>
        </w:rPr>
        <w:t>Кирюхина, Л. Г. Национальная библиотека Беларуси как координационный и методический центр [Электронный ресурс] / Л. Г. Кирюхина, Л. А. Демешко // Публічныя бібліятэкі на пачатку XXI ст. : зб. арт. / Нац. б-ка Беларусі ; склад. В. А. Рынкевіч ; рэд.: М. Г. Алейнік, А. Я. Іванова. – Мінск, 2008. – 1 электрон. апт. дыск (CD-ROM).</w:t>
      </w:r>
    </w:p>
    <w:sectPr w:rsidR="007928FD" w:rsidSect="00CD6C4E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62FC8" w14:textId="77777777" w:rsidR="001D4EB0" w:rsidRDefault="001D4EB0">
      <w:pPr>
        <w:spacing w:after="0" w:line="240" w:lineRule="auto"/>
      </w:pPr>
      <w:r>
        <w:separator/>
      </w:r>
    </w:p>
  </w:endnote>
  <w:endnote w:type="continuationSeparator" w:id="0">
    <w:p w14:paraId="1B29CC91" w14:textId="77777777" w:rsidR="001D4EB0" w:rsidRDefault="001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1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864921" w14:textId="5D981743" w:rsidR="007928FD" w:rsidRPr="00CD6C4E" w:rsidRDefault="007928FD" w:rsidP="00CD6C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3F5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71839415"/>
      <w:docPartObj>
        <w:docPartGallery w:val="Page Numbers (Bottom of Page)"/>
        <w:docPartUnique/>
      </w:docPartObj>
    </w:sdtPr>
    <w:sdtEndPr/>
    <w:sdtContent>
      <w:p w14:paraId="1E096DD8" w14:textId="0A06F6CE" w:rsidR="007928FD" w:rsidRPr="007928FD" w:rsidRDefault="007928F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8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8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928FD">
          <w:rPr>
            <w:rFonts w:ascii="Times New Roman" w:hAnsi="Times New Roman" w:cs="Times New Roman"/>
            <w:sz w:val="24"/>
            <w:szCs w:val="24"/>
          </w:rPr>
          <w:t>2</w:t>
        </w:r>
        <w:r w:rsidRPr="007928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4482BC" w14:textId="77777777" w:rsidR="007928FD" w:rsidRDefault="00792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C3BF7" w14:textId="77777777" w:rsidR="001D4EB0" w:rsidRDefault="001D4EB0">
      <w:pPr>
        <w:spacing w:after="0" w:line="240" w:lineRule="auto"/>
      </w:pPr>
      <w:r>
        <w:separator/>
      </w:r>
    </w:p>
  </w:footnote>
  <w:footnote w:type="continuationSeparator" w:id="0">
    <w:p w14:paraId="51AB4CB3" w14:textId="77777777" w:rsidR="001D4EB0" w:rsidRDefault="001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CDFAB" w14:textId="6A640EC4" w:rsidR="004F2A19" w:rsidRPr="004F2A19" w:rsidRDefault="001D4EB0">
    <w:pPr>
      <w:pStyle w:val="a3"/>
      <w:jc w:val="right"/>
      <w:rPr>
        <w:sz w:val="18"/>
        <w:szCs w:val="18"/>
      </w:rPr>
    </w:pPr>
  </w:p>
  <w:p w14:paraId="0CCD5BB2" w14:textId="77777777" w:rsidR="004F2A19" w:rsidRDefault="001D4E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17A4"/>
    <w:multiLevelType w:val="hybridMultilevel"/>
    <w:tmpl w:val="2222E9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71"/>
    <w:rsid w:val="00074E40"/>
    <w:rsid w:val="001744A9"/>
    <w:rsid w:val="001D4EB0"/>
    <w:rsid w:val="00252721"/>
    <w:rsid w:val="003A177B"/>
    <w:rsid w:val="003B63CD"/>
    <w:rsid w:val="00583897"/>
    <w:rsid w:val="0058792A"/>
    <w:rsid w:val="005A0629"/>
    <w:rsid w:val="00634DF7"/>
    <w:rsid w:val="00692817"/>
    <w:rsid w:val="0070360C"/>
    <w:rsid w:val="007313D3"/>
    <w:rsid w:val="00753F53"/>
    <w:rsid w:val="007928FD"/>
    <w:rsid w:val="007C7BD7"/>
    <w:rsid w:val="007D1D09"/>
    <w:rsid w:val="007E3FB3"/>
    <w:rsid w:val="008569EE"/>
    <w:rsid w:val="008A174F"/>
    <w:rsid w:val="008D3E63"/>
    <w:rsid w:val="009912FD"/>
    <w:rsid w:val="009A12E7"/>
    <w:rsid w:val="00A46A47"/>
    <w:rsid w:val="00B01CEE"/>
    <w:rsid w:val="00B02271"/>
    <w:rsid w:val="00BA432E"/>
    <w:rsid w:val="00BC3104"/>
    <w:rsid w:val="00C1148B"/>
    <w:rsid w:val="00CA6DEF"/>
    <w:rsid w:val="00CD6C4E"/>
    <w:rsid w:val="00D76FFC"/>
    <w:rsid w:val="00DA225A"/>
    <w:rsid w:val="00FB30A3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D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22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9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F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5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022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92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8FD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5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61111111111111"/>
          <c:y val="0.11851851851851852"/>
          <c:w val="0.80277777777777781"/>
          <c:h val="0.47407407407407409"/>
        </c:manualLayout>
      </c:layout>
      <c:scatterChart>
        <c:scatterStyle val="lineMarker"/>
        <c:varyColors val="0"/>
        <c:ser>
          <c:idx val="0"/>
          <c:order val="0"/>
          <c:spPr>
            <a:ln w="12670">
              <a:solidFill>
                <a:srgbClr val="00000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spPr>
              <a:noFill/>
              <a:ln w="253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Лист1!$A$1:$A$5</c:f>
              <c:numCache>
                <c:formatCode>General</c:formatCode>
                <c:ptCount val="5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</c:numCache>
            </c:numRef>
          </c:xVal>
          <c:yVal>
            <c:numRef>
              <c:f>Лист1!$B$1:$B$5</c:f>
              <c:numCache>
                <c:formatCode>General</c:formatCode>
                <c:ptCount val="5"/>
                <c:pt idx="0">
                  <c:v>5.22</c:v>
                </c:pt>
                <c:pt idx="1">
                  <c:v>8.1199999999999992</c:v>
                </c:pt>
                <c:pt idx="2">
                  <c:v>10.41</c:v>
                </c:pt>
                <c:pt idx="3">
                  <c:v>10.59</c:v>
                </c:pt>
                <c:pt idx="4">
                  <c:v>11.19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E01-4E21-9397-10E63E3446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6998144"/>
        <c:axId val="247000064"/>
      </c:scatterChart>
      <c:valAx>
        <c:axId val="246998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898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Период</a:t>
                </a:r>
              </a:p>
            </c:rich>
          </c:tx>
          <c:layout>
            <c:manualLayout>
              <c:xMode val="edge"/>
              <c:yMode val="edge"/>
              <c:x val="0.4194444444444444"/>
              <c:y val="0.84444465783240519"/>
            </c:manualLayout>
          </c:layout>
          <c:overlay val="0"/>
          <c:spPr>
            <a:noFill/>
            <a:ln w="2534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7000064"/>
        <c:crosses val="autoZero"/>
        <c:crossBetween val="midCat"/>
      </c:valAx>
      <c:valAx>
        <c:axId val="24700006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898" b="0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898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млрд. $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148146725561744"/>
            </c:manualLayout>
          </c:layout>
          <c:overlay val="0"/>
          <c:spPr>
            <a:noFill/>
            <a:ln w="2534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8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246998144"/>
        <c:crosses val="autoZero"/>
        <c:crossBetween val="midCat"/>
      </c:valAx>
      <c:spPr>
        <a:noFill/>
        <a:ln w="2534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VR</dc:creator>
  <cp:lastModifiedBy>ЛИВАК ЕЛЕНА НИКОЛАЕВНА</cp:lastModifiedBy>
  <cp:revision>2</cp:revision>
  <dcterms:created xsi:type="dcterms:W3CDTF">2022-03-31T16:06:00Z</dcterms:created>
  <dcterms:modified xsi:type="dcterms:W3CDTF">2022-03-31T16:06:00Z</dcterms:modified>
</cp:coreProperties>
</file>