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thinThickThinSmallGap" w:sz="18" w:space="0" w:color="auto"/>
          <w:bottom w:val="thinThickThinSmallGap" w:sz="18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02271" w:rsidRPr="003F05B5" w14:paraId="0E645186" w14:textId="77777777" w:rsidTr="003A177B">
        <w:trPr>
          <w:trHeight w:val="1256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33AFDC88" w14:textId="77777777" w:rsidR="008644A5" w:rsidRPr="008644A5" w:rsidRDefault="008644A5" w:rsidP="008644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Hlk60943285"/>
            <w:r w:rsidRPr="008644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 Republican Scientific and Practical Conference and Contest of research papers for students of vocational schools and higher education institutions</w:t>
            </w:r>
          </w:p>
          <w:p w14:paraId="28FABE07" w14:textId="77777777" w:rsidR="008644A5" w:rsidRDefault="008644A5" w:rsidP="008644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44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“From Alpha to Omega…” (involving International participants)</w:t>
            </w:r>
          </w:p>
          <w:p w14:paraId="7755A5F0" w14:textId="71B177B9" w:rsidR="008644A5" w:rsidRDefault="008644A5" w:rsidP="008644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Section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6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Applied Mathematics</w:t>
            </w:r>
          </w:p>
          <w:p w14:paraId="1530DB93" w14:textId="52CE9031" w:rsidR="00B02271" w:rsidRPr="008644A5" w:rsidRDefault="00A420F5" w:rsidP="008644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 ARTICLES</w:t>
            </w:r>
          </w:p>
        </w:tc>
      </w:tr>
      <w:bookmarkEnd w:id="0"/>
    </w:tbl>
    <w:p w14:paraId="39984138" w14:textId="77777777" w:rsidR="00B02271" w:rsidRPr="00A420F5" w:rsidRDefault="00B02271" w:rsidP="00FB3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</w:p>
    <w:p w14:paraId="38B569AD" w14:textId="1C55F037" w:rsidR="00B02271" w:rsidRPr="00A420F5" w:rsidRDefault="00A420F5" w:rsidP="00A420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420F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SPECIFICS OF INTELLECTUAL PROPERTY IN THE SERVICE INDUSTRY</w:t>
      </w:r>
    </w:p>
    <w:p w14:paraId="22A3F607" w14:textId="40386F84" w:rsidR="00B02271" w:rsidRPr="00A420F5" w:rsidRDefault="00A420F5" w:rsidP="00FB30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420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I. I. </w:t>
      </w:r>
      <w:proofErr w:type="spellStart"/>
      <w:r w:rsidRPr="00A420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Ryzhova</w:t>
      </w:r>
      <w:proofErr w:type="spellEnd"/>
    </w:p>
    <w:p w14:paraId="07223EC4" w14:textId="5BC0141F" w:rsidR="00B02271" w:rsidRPr="00A420F5" w:rsidRDefault="00B02271" w:rsidP="00FB30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A420F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«</w:t>
      </w:r>
      <w:proofErr w:type="spellStart"/>
      <w:r w:rsidR="00A420F5" w:rsidRPr="00A420F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Yanka</w:t>
      </w:r>
      <w:proofErr w:type="spellEnd"/>
      <w:r w:rsidR="00A420F5" w:rsidRPr="00A420F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A420F5" w:rsidRPr="00A420F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Kupala</w:t>
      </w:r>
      <w:proofErr w:type="spellEnd"/>
      <w:r w:rsidR="00A420F5" w:rsidRPr="00A420F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State University of Grodno</w:t>
      </w:r>
      <w:r w:rsidRPr="00A420F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»,</w:t>
      </w:r>
    </w:p>
    <w:p w14:paraId="012A6C3A" w14:textId="531A6026" w:rsidR="007D1D09" w:rsidRPr="00EF0299" w:rsidRDefault="00A420F5" w:rsidP="00C114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A420F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Grodno</w:t>
      </w:r>
      <w:r w:rsidRPr="00EF029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r w:rsidRPr="00A420F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Belarus</w:t>
      </w:r>
    </w:p>
    <w:p w14:paraId="38F27808" w14:textId="77777777" w:rsidR="00B02271" w:rsidRPr="00EF0299" w:rsidRDefault="00B02271" w:rsidP="00FB3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14:paraId="199CBB13" w14:textId="769185E6" w:rsidR="00697B2D" w:rsidRDefault="00A420F5" w:rsidP="00697B2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697B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Scientific supervisor </w:t>
      </w:r>
      <w:r w:rsidR="00B02271" w:rsidRPr="00697B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="00697B2D" w:rsidRPr="00697B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I. P. </w:t>
      </w:r>
      <w:proofErr w:type="spellStart"/>
      <w:r w:rsidR="00697B2D" w:rsidRPr="00697B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Perovsky</w:t>
      </w:r>
      <w:proofErr w:type="spellEnd"/>
      <w:r w:rsidR="00B02271" w:rsidRPr="00697B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697B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="00697B2D" w:rsidRPr="00697B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rofessor of the Department of Fundamental and Applied Mathematics</w:t>
      </w:r>
      <w:r w:rsidR="00B02271" w:rsidRPr="00697B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</w:t>
      </w:r>
      <w:proofErr w:type="spellStart"/>
      <w:r w:rsidR="00697B2D" w:rsidRPr="00697B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Yanka</w:t>
      </w:r>
      <w:proofErr w:type="spellEnd"/>
      <w:r w:rsidR="00697B2D" w:rsidRPr="00697B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97B2D" w:rsidRPr="00697B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Kupala</w:t>
      </w:r>
      <w:proofErr w:type="spellEnd"/>
      <w:r w:rsidR="00697B2D" w:rsidRPr="00697B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State University of Grodno</w:t>
      </w:r>
      <w:r w:rsidR="00B02271" w:rsidRPr="00697B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», </w:t>
      </w:r>
      <w:r w:rsidR="00F67E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Doctor of Science</w:t>
      </w:r>
      <w:r w:rsidR="006D0F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</w:t>
      </w:r>
      <w:r w:rsidR="00F67E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="006D0F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hysics and </w:t>
      </w:r>
      <w:r w:rsidR="00F67E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6D0F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athematics.</w:t>
      </w:r>
    </w:p>
    <w:p w14:paraId="65F9F9DC" w14:textId="77777777" w:rsidR="00717B85" w:rsidRDefault="00717B85" w:rsidP="00697B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</w:p>
    <w:p w14:paraId="13B8D239" w14:textId="6A58A68A" w:rsidR="00697B2D" w:rsidRPr="00697B2D" w:rsidRDefault="00697B2D" w:rsidP="00697B2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697B2D">
        <w:rPr>
          <w:rFonts w:ascii="Times New Roman" w:hAnsi="Times New Roman" w:cs="Times New Roman"/>
          <w:lang w:val="en-US"/>
        </w:rPr>
        <w:t>The article examines the content and structure of the financial and economic basis of local government and self-government, and the sources of budget revenues. The main sources of own revenues, in particular income tax, profit tax paid by non-state and communal organizations, property tax and land tax are considered. Based on the results of comparing the volume of tax revenues and the economic base that forms them, a conclusion is made about the insufficient efficiency and sustainability of the existing economic base of local budgets. The main factors limiting the tax independence of local authorities are given.</w:t>
      </w:r>
    </w:p>
    <w:p w14:paraId="747DCBEA" w14:textId="675E2262" w:rsidR="00FB460E" w:rsidRPr="00EF0299" w:rsidRDefault="00B02271" w:rsidP="00FB460E">
      <w:pPr>
        <w:tabs>
          <w:tab w:val="left" w:pos="453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F029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0CD8CF25" w14:textId="77777777" w:rsidR="00FB460E" w:rsidRPr="00EF0299" w:rsidRDefault="00FB460E" w:rsidP="00FB460E">
      <w:pPr>
        <w:tabs>
          <w:tab w:val="left" w:pos="453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4239E734" w14:textId="6BAD0496" w:rsidR="00697B2D" w:rsidRPr="00EF0299" w:rsidRDefault="00697B2D" w:rsidP="00697B2D">
      <w:pPr>
        <w:tabs>
          <w:tab w:val="left" w:pos="453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F029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Keywords</w:t>
      </w:r>
      <w:r w:rsidR="00B02271" w:rsidRPr="00EF029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:</w:t>
      </w:r>
      <w:r w:rsidR="00B02271" w:rsidRPr="00EF029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EF029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differential equation, projective plane, </w:t>
      </w:r>
      <w:r w:rsidR="0097631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paths</w:t>
      </w:r>
      <w:r w:rsidRPr="00EF029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of differential systems.</w:t>
      </w:r>
    </w:p>
    <w:p w14:paraId="16DCEED2" w14:textId="77777777" w:rsidR="00697B2D" w:rsidRPr="00EF0299" w:rsidRDefault="00697B2D" w:rsidP="00697B2D">
      <w:pPr>
        <w:tabs>
          <w:tab w:val="left" w:pos="453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0DB34030" w14:textId="3680435B" w:rsidR="00717B85" w:rsidRDefault="00697B2D" w:rsidP="00717B85">
      <w:pPr>
        <w:tabs>
          <w:tab w:val="left" w:pos="453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F029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Introduction. </w:t>
      </w:r>
      <w:r w:rsidRPr="00697B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 the first time, the question of individual differences</w:t>
      </w:r>
      <w:r w:rsidR="009763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76317" w:rsidRPr="00697B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existence</w:t>
      </w:r>
      <w:r w:rsidRPr="00697B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mental (intellectual) abilities was raised by F. Galton</w:t>
      </w:r>
      <w:r w:rsidR="00EF0299" w:rsidRPr="00EF02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697B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Galton believed that intellectual capabilities are naturally conditioned by features of human biological nature and, accordingly, do not differ in any way from his physical and physiological characteristics. </w:t>
      </w:r>
      <w:r w:rsidR="00717B85" w:rsidRPr="00717B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Sensory discriminative sensitivity was considered as an indicator of general intellectual ability.</w:t>
      </w:r>
    </w:p>
    <w:p w14:paraId="517648B8" w14:textId="09E9D337" w:rsidR="00B02271" w:rsidRPr="00717B85" w:rsidRDefault="00717B85" w:rsidP="00717B85">
      <w:pPr>
        <w:tabs>
          <w:tab w:val="left" w:pos="453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7B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Text. Text. Text. Text. Text. Text. Text. Text. Text. Text. Text. Text. Text. Text. Text. Text. Text</w:t>
      </w:r>
      <w:r w:rsidR="00FB460E" w:rsidRPr="00717B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49A709DA" w14:textId="77777777" w:rsidR="00FB460E" w:rsidRPr="00717B85" w:rsidRDefault="00FB460E" w:rsidP="00FB30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57B9688A" w14:textId="05607CAB" w:rsidR="00FB460E" w:rsidRPr="00EF0299" w:rsidRDefault="00717B85" w:rsidP="00717B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7B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The main part.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17B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Text. Text. Text. Text. Text. Text. Text. Text. Text. Text. </w:t>
      </w:r>
      <w:r w:rsidRPr="00EF02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Text. Text. Text. Text. Text. Text. Text.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17B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Text. Text. Text. Text. Text. Text. Text. Text. Text. Text. Text. Text. Text. Text. Text. Text. Text. Text. Text. Text. Text. Text. Text. Text. Text. </w:t>
      </w:r>
      <w:r w:rsidRPr="00EF02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Text. Text. Text. Text. Text. Text. Text. Text. Text</w:t>
      </w:r>
      <w:r w:rsidR="00FB460E" w:rsidRPr="00EF02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0A767EEB" w14:textId="43B851E3" w:rsidR="00BA432E" w:rsidRPr="00EF0299" w:rsidRDefault="008D3E63" w:rsidP="005A0629">
      <w:pPr>
        <w:tabs>
          <w:tab w:val="center" w:pos="482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F02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BA432E" w:rsidRPr="00BA432E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1359" w:dyaOrig="740" w14:anchorId="558FD8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6.6pt" o:ole="">
            <v:imagedata r:id="rId7" o:title=""/>
          </v:shape>
          <o:OLEObject Type="Embed" ProgID="Equation.DSMT4" ShapeID="_x0000_i1025" DrawAspect="Content" ObjectID="_1710772703" r:id="rId8"/>
        </w:object>
      </w:r>
      <w:r w:rsidR="00BA432E" w:rsidRPr="00EF02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D6C4E" w:rsidRPr="00EF02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BA432E" w:rsidRPr="00EF02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(1)</w:t>
      </w:r>
    </w:p>
    <w:p w14:paraId="4AEAC2B5" w14:textId="77777777" w:rsidR="00717B85" w:rsidRDefault="00717B85" w:rsidP="00FB46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7B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Text. Text. Text. Text. Text. Text. Text. Text. Text. Text. Text. Text. Text. Text. Text. Text. Text. Text. Text. Text. Text. Text. Text. Text. Text. Text. Text. Text. Text. Text. Text. Text. Text. Text.</w:t>
      </w:r>
    </w:p>
    <w:p w14:paraId="686603BC" w14:textId="77777777" w:rsidR="00717B85" w:rsidRDefault="00717B85" w:rsidP="00FB46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7B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Text. Text. Text. Text. Text. Text. Text. Text. Text. Text. Text. Text. Text. Text. Text. Text. Text. Text. Text. Text. Text. Text. Text. Text. Text. Text. Text. Text. Text. Text. Text. Text. Text. Text.</w:t>
      </w:r>
    </w:p>
    <w:p w14:paraId="23A6B5E1" w14:textId="77777777" w:rsidR="00717B85" w:rsidRPr="00EF0299" w:rsidRDefault="00717B85" w:rsidP="00FB30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7B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Text. Text. Text. Text. Text. Text. Text. Text. Text. Text. Text. Text. Text. Text. Text. </w:t>
      </w:r>
      <w:r w:rsidRPr="00EF02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Text. Text.</w:t>
      </w:r>
    </w:p>
    <w:p w14:paraId="59DEA92D" w14:textId="77777777" w:rsidR="00717B85" w:rsidRDefault="00717B85" w:rsidP="00717B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7B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 a″ and a′ be the regression coefficients in the equations with high and low productivity, respectively, and Y″ be the average value of high productivity.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754AA4CF" w14:textId="4BD23240" w:rsidR="00B02271" w:rsidRPr="00717B85" w:rsidRDefault="00717B85" w:rsidP="00717B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7B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Then the coefficient of fluctuations will be equal:</w:t>
      </w:r>
      <w:r w:rsidR="00CD6C4E" w:rsidRPr="00717B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B02271" w:rsidRPr="00B02271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140" w:dyaOrig="620" w14:anchorId="19FA72D7">
          <v:shape id="_x0000_i1026" type="#_x0000_t75" style="width:56.4pt;height:30.6pt" o:ole="">
            <v:imagedata r:id="rId9" o:title=""/>
          </v:shape>
          <o:OLEObject Type="Embed" ProgID="Equation.DSMT4" ShapeID="_x0000_i1026" DrawAspect="Content" ObjectID="_1710772704" r:id="rId10"/>
        </w:object>
      </w:r>
      <w:r w:rsidR="00B02271" w:rsidRPr="00717B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CD6C4E" w:rsidRPr="00717B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B02271" w:rsidRPr="00717B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BA432E" w:rsidRPr="00717B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B02271" w:rsidRPr="00717B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14:paraId="76ECB565" w14:textId="77777777" w:rsidR="00717B85" w:rsidRPr="00717B85" w:rsidRDefault="00717B85" w:rsidP="00717B8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7B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where d is the difference between the regression coefficients (a″ - a′).</w:t>
      </w:r>
    </w:p>
    <w:p w14:paraId="226B341D" w14:textId="4E0CFAB7" w:rsidR="00B02271" w:rsidRDefault="00717B85" w:rsidP="00717B8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7B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obtained results are shown in Table 1.</w:t>
      </w:r>
    </w:p>
    <w:p w14:paraId="62FB1060" w14:textId="77777777" w:rsidR="00717B85" w:rsidRPr="00717B85" w:rsidRDefault="00717B85" w:rsidP="00717B8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05BB090A" w14:textId="4511FCE9" w:rsidR="00B02271" w:rsidRPr="00717B85" w:rsidRDefault="00717B85" w:rsidP="00FB30A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717B85">
        <w:rPr>
          <w:rFonts w:ascii="Times New Roman" w:eastAsia="Times New Roman" w:hAnsi="Times New Roman" w:cs="Times New Roman"/>
          <w:b/>
          <w:lang w:val="en-US" w:eastAsia="ru-RU"/>
        </w:rPr>
        <w:t>Table 1 - Dynamics of market share and profit margin</w:t>
      </w:r>
    </w:p>
    <w:tbl>
      <w:tblPr>
        <w:tblW w:w="335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161"/>
        <w:gridCol w:w="611"/>
        <w:gridCol w:w="642"/>
        <w:gridCol w:w="536"/>
        <w:gridCol w:w="508"/>
      </w:tblGrid>
      <w:tr w:rsidR="00B02271" w:rsidRPr="003F05B5" w14:paraId="743F5342" w14:textId="77777777" w:rsidTr="008401B0">
        <w:trPr>
          <w:cantSplit/>
          <w:trHeight w:val="20"/>
          <w:jc w:val="center"/>
        </w:trPr>
        <w:tc>
          <w:tcPr>
            <w:tcW w:w="3222" w:type="pct"/>
            <w:vMerge w:val="restart"/>
            <w:tcMar>
              <w:top w:w="0" w:type="dxa"/>
              <w:bottom w:w="0" w:type="dxa"/>
            </w:tcMar>
            <w:vAlign w:val="center"/>
          </w:tcPr>
          <w:p w14:paraId="73568990" w14:textId="65CC70A3" w:rsidR="00B02271" w:rsidRPr="00B02271" w:rsidRDefault="00717B85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7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</w:t>
            </w:r>
            <w:proofErr w:type="spellEnd"/>
            <w:r w:rsidRPr="00717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7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company</w:t>
            </w:r>
            <w:proofErr w:type="spellEnd"/>
          </w:p>
        </w:tc>
        <w:tc>
          <w:tcPr>
            <w:tcW w:w="1778" w:type="pct"/>
            <w:gridSpan w:val="4"/>
            <w:tcMar>
              <w:top w:w="0" w:type="dxa"/>
              <w:bottom w:w="0" w:type="dxa"/>
            </w:tcMar>
            <w:vAlign w:val="center"/>
          </w:tcPr>
          <w:p w14:paraId="7F6C81D7" w14:textId="77777777" w:rsidR="00331D0C" w:rsidRPr="00331D0C" w:rsidRDefault="00331D0C" w:rsidP="00331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1D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Profit margin %,</w:t>
            </w:r>
          </w:p>
          <w:p w14:paraId="425FE775" w14:textId="43165FCE" w:rsidR="00B02271" w:rsidRPr="00331D0C" w:rsidRDefault="00331D0C" w:rsidP="00331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</w:t>
            </w:r>
            <w:r w:rsidRPr="00331D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ith a market share %</w:t>
            </w:r>
          </w:p>
        </w:tc>
      </w:tr>
      <w:tr w:rsidR="00B02271" w:rsidRPr="00B02271" w14:paraId="459C1948" w14:textId="77777777" w:rsidTr="008401B0">
        <w:trPr>
          <w:cantSplit/>
          <w:trHeight w:val="20"/>
          <w:jc w:val="center"/>
        </w:trPr>
        <w:tc>
          <w:tcPr>
            <w:tcW w:w="3222" w:type="pct"/>
            <w:vMerge/>
            <w:tcMar>
              <w:top w:w="0" w:type="dxa"/>
              <w:bottom w:w="0" w:type="dxa"/>
            </w:tcMar>
            <w:vAlign w:val="center"/>
          </w:tcPr>
          <w:p w14:paraId="3C6A106D" w14:textId="77777777" w:rsidR="00B02271" w:rsidRPr="00331D0C" w:rsidRDefault="00B02271" w:rsidP="00B01C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73" w:type="pct"/>
            <w:tcMar>
              <w:top w:w="0" w:type="dxa"/>
              <w:bottom w:w="0" w:type="dxa"/>
            </w:tcMar>
          </w:tcPr>
          <w:p w14:paraId="4C04EC68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7" w:type="pct"/>
            <w:tcMar>
              <w:top w:w="0" w:type="dxa"/>
              <w:bottom w:w="0" w:type="dxa"/>
            </w:tcMar>
          </w:tcPr>
          <w:p w14:paraId="73EE1E35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20–30</w:t>
            </w:r>
          </w:p>
        </w:tc>
        <w:tc>
          <w:tcPr>
            <w:tcW w:w="415" w:type="pct"/>
            <w:tcMar>
              <w:top w:w="0" w:type="dxa"/>
              <w:bottom w:w="0" w:type="dxa"/>
            </w:tcMar>
          </w:tcPr>
          <w:p w14:paraId="1109BB96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91" w:type="pct"/>
            <w:tcMar>
              <w:top w:w="0" w:type="dxa"/>
              <w:bottom w:w="0" w:type="dxa"/>
            </w:tcMar>
          </w:tcPr>
          <w:p w14:paraId="3D6E255C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 40</w:t>
            </w:r>
          </w:p>
        </w:tc>
      </w:tr>
      <w:tr w:rsidR="00B02271" w:rsidRPr="00B02271" w14:paraId="6D37356F" w14:textId="77777777" w:rsidTr="008401B0">
        <w:trPr>
          <w:trHeight w:val="20"/>
          <w:jc w:val="center"/>
        </w:trPr>
        <w:tc>
          <w:tcPr>
            <w:tcW w:w="3222" w:type="pct"/>
            <w:tcMar>
              <w:top w:w="0" w:type="dxa"/>
              <w:bottom w:w="0" w:type="dxa"/>
            </w:tcMar>
            <w:vAlign w:val="center"/>
          </w:tcPr>
          <w:p w14:paraId="1082B75A" w14:textId="46CA5E4B" w:rsidR="00B02271" w:rsidRPr="00B02271" w:rsidRDefault="00331D0C" w:rsidP="00B01C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1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Producing</w:t>
            </w:r>
            <w:proofErr w:type="spellEnd"/>
            <w:r w:rsidRPr="00331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1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consumer</w:t>
            </w:r>
            <w:proofErr w:type="spellEnd"/>
            <w:r w:rsidRPr="00331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1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goods</w:t>
            </w:r>
            <w:proofErr w:type="spellEnd"/>
          </w:p>
        </w:tc>
        <w:tc>
          <w:tcPr>
            <w:tcW w:w="473" w:type="pct"/>
            <w:tcMar>
              <w:top w:w="0" w:type="dxa"/>
              <w:bottom w:w="0" w:type="dxa"/>
            </w:tcMar>
          </w:tcPr>
          <w:p w14:paraId="01C0A328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7" w:type="pct"/>
            <w:tcMar>
              <w:top w:w="0" w:type="dxa"/>
              <w:bottom w:w="0" w:type="dxa"/>
            </w:tcMar>
          </w:tcPr>
          <w:p w14:paraId="563FF67E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5" w:type="pct"/>
            <w:tcMar>
              <w:top w:w="0" w:type="dxa"/>
              <w:bottom w:w="0" w:type="dxa"/>
            </w:tcMar>
          </w:tcPr>
          <w:p w14:paraId="6EE02C1F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1" w:type="pct"/>
            <w:tcMar>
              <w:top w:w="0" w:type="dxa"/>
              <w:bottom w:w="0" w:type="dxa"/>
            </w:tcMar>
          </w:tcPr>
          <w:p w14:paraId="290984C5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B02271" w:rsidRPr="00B02271" w14:paraId="3F286EA3" w14:textId="77777777" w:rsidTr="008401B0">
        <w:trPr>
          <w:trHeight w:val="20"/>
          <w:jc w:val="center"/>
        </w:trPr>
        <w:tc>
          <w:tcPr>
            <w:tcW w:w="3222" w:type="pct"/>
            <w:tcMar>
              <w:top w:w="0" w:type="dxa"/>
              <w:bottom w:w="0" w:type="dxa"/>
            </w:tcMar>
            <w:vAlign w:val="center"/>
          </w:tcPr>
          <w:p w14:paraId="7A09C22E" w14:textId="2C46FB65" w:rsidR="00B02271" w:rsidRPr="00B02271" w:rsidRDefault="00331D0C" w:rsidP="00B01C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1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Producers</w:t>
            </w:r>
            <w:proofErr w:type="spellEnd"/>
            <w:r w:rsidRPr="00331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1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331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1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manufactured</w:t>
            </w:r>
            <w:proofErr w:type="spellEnd"/>
            <w:r w:rsidRPr="00331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1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goods</w:t>
            </w:r>
            <w:proofErr w:type="spellEnd"/>
          </w:p>
        </w:tc>
        <w:tc>
          <w:tcPr>
            <w:tcW w:w="473" w:type="pct"/>
            <w:tcMar>
              <w:top w:w="0" w:type="dxa"/>
              <w:bottom w:w="0" w:type="dxa"/>
            </w:tcMar>
          </w:tcPr>
          <w:p w14:paraId="636B5D6A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pct"/>
            <w:tcMar>
              <w:top w:w="0" w:type="dxa"/>
              <w:bottom w:w="0" w:type="dxa"/>
            </w:tcMar>
          </w:tcPr>
          <w:p w14:paraId="28EB8B58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5" w:type="pct"/>
            <w:tcMar>
              <w:top w:w="0" w:type="dxa"/>
              <w:bottom w:w="0" w:type="dxa"/>
            </w:tcMar>
          </w:tcPr>
          <w:p w14:paraId="6F4D6EA8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91" w:type="pct"/>
            <w:tcMar>
              <w:top w:w="0" w:type="dxa"/>
              <w:bottom w:w="0" w:type="dxa"/>
            </w:tcMar>
          </w:tcPr>
          <w:p w14:paraId="089B0C02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</w:tbl>
    <w:p w14:paraId="0D2928C0" w14:textId="77777777" w:rsidR="00B02271" w:rsidRPr="00B02271" w:rsidRDefault="00B02271" w:rsidP="00FB30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0D16CD" w14:textId="2466175C" w:rsidR="00B02271" w:rsidRPr="00331D0C" w:rsidRDefault="00331D0C" w:rsidP="00FB30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1D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initial data is shown in the figure </w:t>
      </w:r>
      <w:r w:rsidR="00B02271" w:rsidRPr="00331D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</w:p>
    <w:p w14:paraId="23D4010D" w14:textId="77777777" w:rsidR="00634DF7" w:rsidRPr="00331D0C" w:rsidRDefault="00634DF7" w:rsidP="00FB30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430BA7F" w14:textId="5D3FB7A2" w:rsidR="00B02271" w:rsidRPr="00B02271" w:rsidRDefault="00B02271" w:rsidP="00FB30A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60962934"/>
      <w:r w:rsidRPr="00B022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14543C" wp14:editId="3A6EE628">
            <wp:extent cx="3943350" cy="100965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bookmarkEnd w:id="1"/>
    <w:p w14:paraId="6B118BDE" w14:textId="49A18A00" w:rsidR="00B02271" w:rsidRDefault="00331D0C" w:rsidP="00FB30A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331D0C">
        <w:rPr>
          <w:rFonts w:ascii="Times New Roman" w:eastAsia="Times New Roman" w:hAnsi="Times New Roman" w:cs="Times New Roman"/>
          <w:b/>
          <w:lang w:val="en-US" w:eastAsia="ru-RU"/>
        </w:rPr>
        <w:t>Figure 1 – Net profit of «TOYOTA»</w:t>
      </w:r>
    </w:p>
    <w:p w14:paraId="5537EC41" w14:textId="77777777" w:rsidR="00331D0C" w:rsidRPr="00331D0C" w:rsidRDefault="00331D0C" w:rsidP="00FB30A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271F0304" w14:textId="77777777" w:rsidR="00331D0C" w:rsidRPr="00331D0C" w:rsidRDefault="00331D0C" w:rsidP="007E3F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1D0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Conclusion. </w:t>
      </w:r>
      <w:r w:rsidRPr="00331D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Conclusion. Conclusion (2). Conclusion. Conclusion. Conclusion. Conclusion.</w:t>
      </w:r>
    </w:p>
    <w:p w14:paraId="7C02AF09" w14:textId="38441679" w:rsidR="00331D0C" w:rsidRPr="00331D0C" w:rsidRDefault="00331D0C" w:rsidP="00331D0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1D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Conclusion. Conclusion. Conclusion. Conclusion. Conclusion. Conclusion. Conclusion. Conclusion. Conclusion. Conclusion. Conclusion. Conclusion. Conclusion.</w:t>
      </w:r>
    </w:p>
    <w:p w14:paraId="77E2D1D8" w14:textId="77777777" w:rsidR="00331D0C" w:rsidRPr="00EF0299" w:rsidRDefault="00331D0C" w:rsidP="007E3F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aps/>
          <w:sz w:val="20"/>
          <w:szCs w:val="20"/>
          <w:lang w:val="en-US" w:eastAsia="ru-RU"/>
        </w:rPr>
      </w:pPr>
    </w:p>
    <w:p w14:paraId="71CE2576" w14:textId="29C80A2B" w:rsidR="00331D0C" w:rsidRPr="003F05B5" w:rsidRDefault="003F05B5" w:rsidP="00331D0C">
      <w:pPr>
        <w:pStyle w:val="lmttranslationsastextitem"/>
        <w:shd w:val="clear" w:color="auto" w:fill="FFFFFF"/>
        <w:spacing w:before="0" w:beforeAutospacing="0" w:after="0" w:afterAutospacing="0"/>
        <w:ind w:left="-225" w:right="-600"/>
        <w:jc w:val="center"/>
        <w:rPr>
          <w:caps/>
          <w:sz w:val="20"/>
          <w:szCs w:val="20"/>
          <w:lang w:val="en-US"/>
        </w:rPr>
      </w:pPr>
      <w:r w:rsidRPr="003F05B5">
        <w:rPr>
          <w:caps/>
          <w:sz w:val="20"/>
          <w:szCs w:val="20"/>
        </w:rPr>
        <w:t>References</w:t>
      </w:r>
    </w:p>
    <w:p w14:paraId="3A2CDBC2" w14:textId="77777777" w:rsidR="007E3FB3" w:rsidRPr="00331D0C" w:rsidRDefault="007E3FB3" w:rsidP="007E3FB3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caps/>
          <w:sz w:val="20"/>
          <w:szCs w:val="20"/>
          <w:lang w:val="en-US" w:eastAsia="ru-RU"/>
        </w:rPr>
      </w:pPr>
    </w:p>
    <w:p w14:paraId="409FD785" w14:textId="5CA6500F" w:rsidR="0082641B" w:rsidRPr="003F05B5" w:rsidRDefault="00976317" w:rsidP="003F05B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F05B5">
        <w:rPr>
          <w:rFonts w:ascii="Times New Roman" w:hAnsi="Times New Roman" w:cs="Times New Roman"/>
          <w:sz w:val="20"/>
          <w:szCs w:val="20"/>
          <w:lang w:val="en-US"/>
        </w:rPr>
        <w:t xml:space="preserve">1. </w:t>
      </w:r>
      <w:proofErr w:type="spellStart"/>
      <w:r w:rsidR="0082641B" w:rsidRPr="003F05B5">
        <w:rPr>
          <w:rFonts w:ascii="Times New Roman" w:hAnsi="Times New Roman" w:cs="Times New Roman"/>
          <w:sz w:val="20"/>
          <w:szCs w:val="20"/>
          <w:lang w:val="en-US"/>
        </w:rPr>
        <w:t>Ganzburg</w:t>
      </w:r>
      <w:proofErr w:type="spellEnd"/>
      <w:r w:rsidR="0082641B" w:rsidRPr="003F05B5">
        <w:rPr>
          <w:rFonts w:ascii="Times New Roman" w:hAnsi="Times New Roman" w:cs="Times New Roman"/>
          <w:sz w:val="20"/>
          <w:szCs w:val="20"/>
          <w:lang w:val="en-US"/>
        </w:rPr>
        <w:t xml:space="preserve">, M.I. The Bernstein Constant and Polynomial Interpolation at the Chebyshev Nodes / M.I. </w:t>
      </w:r>
      <w:proofErr w:type="spellStart"/>
      <w:r w:rsidR="0082641B" w:rsidRPr="003F05B5">
        <w:rPr>
          <w:rFonts w:ascii="Times New Roman" w:hAnsi="Times New Roman" w:cs="Times New Roman"/>
          <w:sz w:val="20"/>
          <w:szCs w:val="20"/>
          <w:lang w:val="en-US"/>
        </w:rPr>
        <w:t>Ganzburg</w:t>
      </w:r>
      <w:proofErr w:type="spellEnd"/>
      <w:r w:rsidR="0082641B" w:rsidRPr="003F05B5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4F1BCF99" w14:textId="4D54BB6A" w:rsidR="0082641B" w:rsidRPr="003F05B5" w:rsidRDefault="00976317" w:rsidP="003F05B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F05B5">
        <w:rPr>
          <w:rFonts w:ascii="Times New Roman" w:hAnsi="Times New Roman" w:cs="Times New Roman"/>
          <w:sz w:val="20"/>
          <w:szCs w:val="20"/>
          <w:lang w:val="en-US"/>
        </w:rPr>
        <w:t xml:space="preserve">2. </w:t>
      </w:r>
      <w:r w:rsidR="0082641B" w:rsidRPr="003F05B5">
        <w:rPr>
          <w:rFonts w:ascii="Times New Roman" w:hAnsi="Times New Roman" w:cs="Times New Roman"/>
          <w:sz w:val="20"/>
          <w:szCs w:val="20"/>
          <w:lang w:val="en-US"/>
        </w:rPr>
        <w:t xml:space="preserve">– </w:t>
      </w:r>
      <w:proofErr w:type="gramStart"/>
      <w:r w:rsidR="0082641B" w:rsidRPr="003F05B5">
        <w:rPr>
          <w:rFonts w:ascii="Times New Roman" w:hAnsi="Times New Roman" w:cs="Times New Roman"/>
          <w:sz w:val="20"/>
          <w:szCs w:val="20"/>
          <w:lang w:val="en-US"/>
        </w:rPr>
        <w:t>Hampton :</w:t>
      </w:r>
      <w:proofErr w:type="gramEnd"/>
      <w:r w:rsidR="0082641B" w:rsidRPr="003F05B5">
        <w:rPr>
          <w:rFonts w:ascii="Times New Roman" w:hAnsi="Times New Roman" w:cs="Times New Roman"/>
          <w:sz w:val="20"/>
          <w:szCs w:val="20"/>
          <w:lang w:val="en-US"/>
        </w:rPr>
        <w:t xml:space="preserve"> Journal of Approximation Theory, 2002.</w:t>
      </w:r>
    </w:p>
    <w:p w14:paraId="113A5A65" w14:textId="4782D709" w:rsidR="007928FD" w:rsidRPr="003F05B5" w:rsidRDefault="00976317" w:rsidP="003F05B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2" w:name="_GoBack"/>
      <w:bookmarkEnd w:id="2"/>
      <w:r w:rsidRPr="003F05B5">
        <w:rPr>
          <w:rFonts w:ascii="Times New Roman" w:hAnsi="Times New Roman" w:cs="Times New Roman"/>
          <w:sz w:val="20"/>
          <w:szCs w:val="20"/>
          <w:lang w:val="en-US"/>
        </w:rPr>
        <w:t>3.</w:t>
      </w:r>
      <w:r w:rsidR="0082641B" w:rsidRPr="003F05B5">
        <w:rPr>
          <w:rFonts w:ascii="Times New Roman" w:hAnsi="Times New Roman" w:cs="Times New Roman"/>
          <w:sz w:val="20"/>
          <w:szCs w:val="20"/>
          <w:lang w:val="en-US"/>
        </w:rPr>
        <w:t xml:space="preserve">Krivopalov V. Y., </w:t>
      </w:r>
      <w:proofErr w:type="spellStart"/>
      <w:r w:rsidR="0082641B" w:rsidRPr="003F05B5">
        <w:rPr>
          <w:rFonts w:ascii="Times New Roman" w:hAnsi="Times New Roman" w:cs="Times New Roman"/>
          <w:sz w:val="20"/>
          <w:szCs w:val="20"/>
          <w:lang w:val="en-US"/>
        </w:rPr>
        <w:t>Krivopalov</w:t>
      </w:r>
      <w:proofErr w:type="spellEnd"/>
      <w:r w:rsidR="0082641B" w:rsidRPr="003F05B5">
        <w:rPr>
          <w:rFonts w:ascii="Times New Roman" w:hAnsi="Times New Roman" w:cs="Times New Roman"/>
          <w:sz w:val="20"/>
          <w:szCs w:val="20"/>
          <w:lang w:val="en-US"/>
        </w:rPr>
        <w:t xml:space="preserve"> Y. A. The potential method for solving the transportation</w:t>
      </w:r>
      <w:r w:rsidRPr="003F05B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2641B" w:rsidRPr="003F05B5">
        <w:rPr>
          <w:rFonts w:ascii="Times New Roman" w:hAnsi="Times New Roman" w:cs="Times New Roman"/>
          <w:sz w:val="20"/>
          <w:szCs w:val="20"/>
          <w:lang w:val="en-US"/>
        </w:rPr>
        <w:t>problem with transit</w:t>
      </w:r>
      <w:r w:rsidRPr="003F05B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2641B" w:rsidRPr="003F05B5">
        <w:rPr>
          <w:rFonts w:ascii="Times New Roman" w:hAnsi="Times New Roman" w:cs="Times New Roman"/>
          <w:sz w:val="20"/>
          <w:szCs w:val="20"/>
          <w:lang w:val="en-US"/>
        </w:rPr>
        <w:t>points. New Magenta Papers. Magenta Technology, 2013.</w:t>
      </w:r>
    </w:p>
    <w:sectPr w:rsidR="007928FD" w:rsidRPr="003F05B5" w:rsidSect="00CD6C4E">
      <w:headerReference w:type="default" r:id="rId12"/>
      <w:footerReference w:type="defaul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BC8CC" w14:textId="77777777" w:rsidR="00ED737D" w:rsidRDefault="00ED737D">
      <w:pPr>
        <w:spacing w:after="0" w:line="240" w:lineRule="auto"/>
      </w:pPr>
      <w:r>
        <w:separator/>
      </w:r>
    </w:p>
  </w:endnote>
  <w:endnote w:type="continuationSeparator" w:id="0">
    <w:p w14:paraId="70616529" w14:textId="77777777" w:rsidR="00ED737D" w:rsidRDefault="00ED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81017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5864921" w14:textId="74D2BF4D" w:rsidR="007928FD" w:rsidRPr="00CD6C4E" w:rsidRDefault="007928FD" w:rsidP="00CD6C4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28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28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28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44A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928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871839415"/>
      <w:docPartObj>
        <w:docPartGallery w:val="Page Numbers (Bottom of Page)"/>
        <w:docPartUnique/>
      </w:docPartObj>
    </w:sdtPr>
    <w:sdtEndPr/>
    <w:sdtContent>
      <w:p w14:paraId="1E096DD8" w14:textId="0A06F6CE" w:rsidR="007928FD" w:rsidRPr="007928FD" w:rsidRDefault="007928F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28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28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28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928FD">
          <w:rPr>
            <w:rFonts w:ascii="Times New Roman" w:hAnsi="Times New Roman" w:cs="Times New Roman"/>
            <w:sz w:val="24"/>
            <w:szCs w:val="24"/>
          </w:rPr>
          <w:t>2</w:t>
        </w:r>
        <w:r w:rsidRPr="007928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74482BC" w14:textId="77777777" w:rsidR="007928FD" w:rsidRDefault="007928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5A96E" w14:textId="77777777" w:rsidR="00ED737D" w:rsidRDefault="00ED737D">
      <w:pPr>
        <w:spacing w:after="0" w:line="240" w:lineRule="auto"/>
      </w:pPr>
      <w:r>
        <w:separator/>
      </w:r>
    </w:p>
  </w:footnote>
  <w:footnote w:type="continuationSeparator" w:id="0">
    <w:p w14:paraId="0EDC9CAA" w14:textId="77777777" w:rsidR="00ED737D" w:rsidRDefault="00ED7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CDFAB" w14:textId="6A640EC4" w:rsidR="004F2A19" w:rsidRPr="004F2A19" w:rsidRDefault="00ED737D">
    <w:pPr>
      <w:pStyle w:val="a3"/>
      <w:jc w:val="right"/>
      <w:rPr>
        <w:sz w:val="18"/>
        <w:szCs w:val="18"/>
      </w:rPr>
    </w:pPr>
  </w:p>
  <w:p w14:paraId="0CCD5BB2" w14:textId="77777777" w:rsidR="004F2A19" w:rsidRDefault="00ED73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D17A4"/>
    <w:multiLevelType w:val="hybridMultilevel"/>
    <w:tmpl w:val="2222E91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71"/>
    <w:rsid w:val="00074E40"/>
    <w:rsid w:val="000832F6"/>
    <w:rsid w:val="000923AE"/>
    <w:rsid w:val="000A28B4"/>
    <w:rsid w:val="001744A9"/>
    <w:rsid w:val="001D4EB0"/>
    <w:rsid w:val="00235A31"/>
    <w:rsid w:val="00252721"/>
    <w:rsid w:val="002F74D8"/>
    <w:rsid w:val="00331D0C"/>
    <w:rsid w:val="003722E0"/>
    <w:rsid w:val="003A177B"/>
    <w:rsid w:val="003B63CD"/>
    <w:rsid w:val="003F05B5"/>
    <w:rsid w:val="004C4326"/>
    <w:rsid w:val="005359DF"/>
    <w:rsid w:val="00583897"/>
    <w:rsid w:val="0058792A"/>
    <w:rsid w:val="005A0629"/>
    <w:rsid w:val="00634DF7"/>
    <w:rsid w:val="00692817"/>
    <w:rsid w:val="00697B2D"/>
    <w:rsid w:val="006D0F79"/>
    <w:rsid w:val="0070360C"/>
    <w:rsid w:val="00717B85"/>
    <w:rsid w:val="007313D3"/>
    <w:rsid w:val="00753F53"/>
    <w:rsid w:val="007928FD"/>
    <w:rsid w:val="007C7BD7"/>
    <w:rsid w:val="007D1D09"/>
    <w:rsid w:val="007E3FB3"/>
    <w:rsid w:val="0082641B"/>
    <w:rsid w:val="008569EE"/>
    <w:rsid w:val="008644A5"/>
    <w:rsid w:val="008A174F"/>
    <w:rsid w:val="008D3E63"/>
    <w:rsid w:val="00976317"/>
    <w:rsid w:val="009912FD"/>
    <w:rsid w:val="009A12E7"/>
    <w:rsid w:val="00A4077B"/>
    <w:rsid w:val="00A420F5"/>
    <w:rsid w:val="00A46A47"/>
    <w:rsid w:val="00A77F55"/>
    <w:rsid w:val="00B01CEE"/>
    <w:rsid w:val="00B02271"/>
    <w:rsid w:val="00B91F47"/>
    <w:rsid w:val="00BA432E"/>
    <w:rsid w:val="00BC3104"/>
    <w:rsid w:val="00BC6F48"/>
    <w:rsid w:val="00C1148B"/>
    <w:rsid w:val="00CA6DEF"/>
    <w:rsid w:val="00CD6C4E"/>
    <w:rsid w:val="00D76FFC"/>
    <w:rsid w:val="00DA225A"/>
    <w:rsid w:val="00ED737D"/>
    <w:rsid w:val="00EF0299"/>
    <w:rsid w:val="00F20054"/>
    <w:rsid w:val="00F67EFE"/>
    <w:rsid w:val="00FB30A3"/>
    <w:rsid w:val="00FB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D63B"/>
  <w15:docId w15:val="{9F636F7E-C60A-4297-8362-CD1FB50D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22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0227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9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8F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5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F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420F5"/>
    <w:pPr>
      <w:ind w:left="720"/>
      <w:contextualSpacing/>
    </w:pPr>
  </w:style>
  <w:style w:type="paragraph" w:customStyle="1" w:styleId="lmttranslationsastextitem">
    <w:name w:val="lmt__translations_as_text__item"/>
    <w:basedOn w:val="a"/>
    <w:rsid w:val="0033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8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61111111111111"/>
          <c:y val="0.11851851851851852"/>
          <c:w val="0.80277777777777781"/>
          <c:h val="0.47407407407407409"/>
        </c:manualLayout>
      </c:layout>
      <c:scatterChart>
        <c:scatterStyle val="lineMarker"/>
        <c:varyColors val="0"/>
        <c:ser>
          <c:idx val="0"/>
          <c:order val="0"/>
          <c:spPr>
            <a:ln w="12670">
              <a:solidFill>
                <a:srgbClr val="0000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spPr>
              <a:noFill/>
              <a:ln w="2534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98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Лист1!$A$1:$A$5</c:f>
              <c:numCache>
                <c:formatCode>General</c:formatCode>
                <c:ptCount val="5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</c:numCache>
            </c:numRef>
          </c:xVal>
          <c:yVal>
            <c:numRef>
              <c:f>Лист1!$B$1:$B$5</c:f>
              <c:numCache>
                <c:formatCode>General</c:formatCode>
                <c:ptCount val="5"/>
                <c:pt idx="0">
                  <c:v>5.22</c:v>
                </c:pt>
                <c:pt idx="1">
                  <c:v>8.1199999999999992</c:v>
                </c:pt>
                <c:pt idx="2">
                  <c:v>10.41</c:v>
                </c:pt>
                <c:pt idx="3">
                  <c:v>10.59</c:v>
                </c:pt>
                <c:pt idx="4">
                  <c:v>11.19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E01-4E21-9397-10E63E3446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6998144"/>
        <c:axId val="247000064"/>
      </c:scatterChart>
      <c:valAx>
        <c:axId val="2469981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98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en-US" sz="898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period</a:t>
                </a:r>
                <a:endParaRPr lang="ru-RU" sz="898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4194444444444444"/>
              <c:y val="0.84444465783240519"/>
            </c:manualLayout>
          </c:layout>
          <c:overlay val="0"/>
          <c:spPr>
            <a:noFill/>
            <a:ln w="2534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7000064"/>
        <c:crosses val="autoZero"/>
        <c:crossBetween val="midCat"/>
      </c:valAx>
      <c:valAx>
        <c:axId val="24700006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898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en-US" sz="898" b="0" i="0" u="none" strike="noStrike" baseline="0">
                    <a:effectLst/>
                  </a:rPr>
                  <a:t>a billion</a:t>
                </a:r>
                <a:r>
                  <a:rPr lang="ru-RU" sz="898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. $</a:t>
                </a:r>
              </a:p>
            </c:rich>
          </c:tx>
          <c:layout>
            <c:manualLayout>
              <c:xMode val="edge"/>
              <c:yMode val="edge"/>
              <c:x val="1.3888888888888888E-2"/>
              <c:y val="0.2148146725561744"/>
            </c:manualLayout>
          </c:layout>
          <c:overlay val="0"/>
          <c:spPr>
            <a:noFill/>
            <a:ln w="2534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8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ru-RU"/>
          </a:p>
        </c:txPr>
        <c:crossAx val="246998144"/>
        <c:crosses val="autoZero"/>
        <c:crossBetween val="midCat"/>
      </c:valAx>
      <c:spPr>
        <a:noFill/>
        <a:ln w="2534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 VR</dc:creator>
  <cp:lastModifiedBy>Anna Karkanitsa</cp:lastModifiedBy>
  <cp:revision>2</cp:revision>
  <dcterms:created xsi:type="dcterms:W3CDTF">2022-04-06T14:52:00Z</dcterms:created>
  <dcterms:modified xsi:type="dcterms:W3CDTF">2022-04-06T14:52:00Z</dcterms:modified>
</cp:coreProperties>
</file>